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01DF1" w14:textId="77777777" w:rsidR="00FA35B4" w:rsidRDefault="00FA35B4" w:rsidP="00FA35B4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</w:p>
    <w:p w14:paraId="3EF98D5A" w14:textId="77777777" w:rsidR="00FA35B4" w:rsidRDefault="00FA35B4" w:rsidP="00FA35B4">
      <w:pPr>
        <w:jc w:val="center"/>
        <w:rPr>
          <w:rFonts w:ascii="Arial" w:hAnsi="Arial" w:cs="Arial"/>
          <w:b/>
          <w:sz w:val="48"/>
          <w:szCs w:val="48"/>
        </w:rPr>
      </w:pPr>
    </w:p>
    <w:p w14:paraId="06B097A1" w14:textId="77777777" w:rsidR="00FA35B4" w:rsidRDefault="00FA35B4" w:rsidP="00FA35B4">
      <w:pPr>
        <w:jc w:val="center"/>
        <w:rPr>
          <w:rFonts w:ascii="Arial" w:hAnsi="Arial" w:cs="Arial"/>
          <w:b/>
          <w:sz w:val="48"/>
          <w:szCs w:val="48"/>
        </w:rPr>
      </w:pPr>
      <w:r w:rsidRPr="00FA35B4">
        <w:rPr>
          <w:rFonts w:ascii="Arial" w:hAnsi="Arial" w:cs="Arial"/>
          <w:b/>
          <w:sz w:val="48"/>
          <w:szCs w:val="48"/>
        </w:rPr>
        <w:t xml:space="preserve">The “3 Box” model of digital engagement </w:t>
      </w:r>
      <w:r w:rsidR="00435E30" w:rsidRPr="00FA35B4">
        <w:rPr>
          <w:rFonts w:ascii="Arial" w:hAnsi="Arial" w:cs="Arial"/>
          <w:b/>
          <w:sz w:val="48"/>
          <w:szCs w:val="48"/>
        </w:rPr>
        <w:br/>
      </w:r>
    </w:p>
    <w:p w14:paraId="3FB5BE79" w14:textId="77777777" w:rsidR="00FA35B4" w:rsidRPr="00FA35B4" w:rsidRDefault="00FA35B4" w:rsidP="00FA35B4">
      <w:pPr>
        <w:jc w:val="center"/>
        <w:rPr>
          <w:rFonts w:ascii="Arial" w:hAnsi="Arial" w:cs="Arial"/>
          <w:b/>
          <w:sz w:val="48"/>
          <w:szCs w:val="48"/>
        </w:rPr>
      </w:pPr>
    </w:p>
    <w:p w14:paraId="3A5910A2" w14:textId="77777777" w:rsidR="00FA35B4" w:rsidRDefault="00FA35B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21DC84EC" wp14:editId="23E41792">
            <wp:extent cx="6188710" cy="21196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Box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FE72E" w14:textId="77777777" w:rsidR="00FA35B4" w:rsidRDefault="00FA35B4">
      <w:pPr>
        <w:rPr>
          <w:rFonts w:ascii="Arial" w:hAnsi="Arial" w:cs="Arial"/>
          <w:b/>
        </w:rPr>
      </w:pPr>
    </w:p>
    <w:p w14:paraId="79B47865" w14:textId="77777777" w:rsidR="00FA35B4" w:rsidRDefault="00FA35B4" w:rsidP="001143AF">
      <w:pPr>
        <w:spacing w:line="240" w:lineRule="auto"/>
        <w:jc w:val="center"/>
        <w:rPr>
          <w:rFonts w:ascii="Arial" w:hAnsi="Arial" w:cs="Arial"/>
          <w:b/>
        </w:rPr>
      </w:pPr>
    </w:p>
    <w:p w14:paraId="1B7BACBC" w14:textId="77777777" w:rsidR="001143AF" w:rsidRPr="001143AF" w:rsidRDefault="00FA35B4" w:rsidP="001143AF">
      <w:pPr>
        <w:spacing w:line="240" w:lineRule="auto"/>
        <w:jc w:val="center"/>
        <w:rPr>
          <w:rFonts w:ascii="Arial" w:hAnsi="Arial" w:cs="Arial"/>
        </w:rPr>
      </w:pPr>
      <w:r w:rsidRPr="001143AF">
        <w:rPr>
          <w:rFonts w:ascii="Arial" w:hAnsi="Arial" w:cs="Arial"/>
        </w:rPr>
        <w:t>A simple model for mapping the role and v</w:t>
      </w:r>
      <w:r w:rsidR="00E20B44" w:rsidRPr="001143AF">
        <w:rPr>
          <w:rFonts w:ascii="Arial" w:hAnsi="Arial" w:cs="Arial"/>
        </w:rPr>
        <w:t>alue</w:t>
      </w:r>
    </w:p>
    <w:p w14:paraId="729E6D74" w14:textId="77777777" w:rsidR="00E20B44" w:rsidRPr="001143AF" w:rsidRDefault="00E20B44" w:rsidP="001143AF">
      <w:pPr>
        <w:spacing w:line="240" w:lineRule="auto"/>
        <w:jc w:val="center"/>
        <w:rPr>
          <w:rFonts w:ascii="Arial" w:hAnsi="Arial" w:cs="Arial"/>
        </w:rPr>
      </w:pPr>
      <w:proofErr w:type="gramStart"/>
      <w:r w:rsidRPr="001143AF">
        <w:rPr>
          <w:rFonts w:ascii="Arial" w:hAnsi="Arial" w:cs="Arial"/>
        </w:rPr>
        <w:t>of</w:t>
      </w:r>
      <w:proofErr w:type="gramEnd"/>
      <w:r w:rsidRPr="001143AF">
        <w:rPr>
          <w:rFonts w:ascii="Arial" w:hAnsi="Arial" w:cs="Arial"/>
        </w:rPr>
        <w:t xml:space="preserve"> the digital in teaching creative disciplines</w:t>
      </w:r>
    </w:p>
    <w:p w14:paraId="42D9EE15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3D8F67AE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41896610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4F1D4436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30CEA1A3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021BB1C7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7B7FBE4F" w14:textId="77777777" w:rsidR="00E20B44" w:rsidRDefault="00E20B44" w:rsidP="00E20B44">
      <w:pPr>
        <w:jc w:val="center"/>
        <w:rPr>
          <w:rFonts w:ascii="Arial" w:hAnsi="Arial" w:cs="Arial"/>
          <w:b/>
        </w:rPr>
      </w:pPr>
    </w:p>
    <w:p w14:paraId="6EB4E48B" w14:textId="77777777" w:rsidR="00E20B44" w:rsidRPr="00E20B44" w:rsidRDefault="00E20B44" w:rsidP="00E20B44">
      <w:pPr>
        <w:jc w:val="center"/>
        <w:rPr>
          <w:rFonts w:ascii="Arial" w:hAnsi="Arial" w:cs="Arial"/>
          <w:b/>
          <w:i/>
        </w:rPr>
      </w:pPr>
    </w:p>
    <w:p w14:paraId="2CB0A567" w14:textId="77777777" w:rsidR="00E20B44" w:rsidRPr="00E20B44" w:rsidRDefault="00E20B44" w:rsidP="00E20B44">
      <w:pPr>
        <w:rPr>
          <w:rFonts w:ascii="Arial" w:hAnsi="Arial" w:cs="Arial"/>
          <w:b/>
        </w:rPr>
      </w:pPr>
      <w:r w:rsidRPr="00E20B44">
        <w:rPr>
          <w:rFonts w:ascii="Arial" w:hAnsi="Arial" w:cs="Arial"/>
          <w:b/>
        </w:rPr>
        <w:t>David White</w:t>
      </w:r>
    </w:p>
    <w:p w14:paraId="418AD519" w14:textId="7DEA507B" w:rsidR="008E269A" w:rsidRPr="007A6F9F" w:rsidRDefault="00E20B44">
      <w:pPr>
        <w:rPr>
          <w:rFonts w:ascii="Arial" w:hAnsi="Arial" w:cs="Arial"/>
          <w:b/>
          <w:i/>
        </w:rPr>
      </w:pPr>
      <w:r w:rsidRPr="00E20B44">
        <w:rPr>
          <w:rFonts w:ascii="Arial" w:hAnsi="Arial" w:cs="Arial"/>
          <w:b/>
          <w:i/>
        </w:rPr>
        <w:t>Head of Technology Enhanced Learning</w:t>
      </w:r>
      <w:r w:rsidRPr="00E20B44">
        <w:rPr>
          <w:rFonts w:ascii="Arial" w:hAnsi="Arial" w:cs="Arial"/>
          <w:b/>
          <w:i/>
        </w:rPr>
        <w:br/>
        <w:t>Teaching &amp; Learning Exchange</w:t>
      </w:r>
      <w:r w:rsidRPr="00E20B44">
        <w:rPr>
          <w:rFonts w:ascii="Arial" w:hAnsi="Arial" w:cs="Arial"/>
          <w:b/>
          <w:i/>
        </w:rPr>
        <w:br/>
        <w:t xml:space="preserve">University of the Arts London </w:t>
      </w:r>
      <w:r w:rsidR="00FA35B4" w:rsidRPr="00E20B44">
        <w:rPr>
          <w:rFonts w:ascii="Arial" w:hAnsi="Arial" w:cs="Arial"/>
          <w:b/>
          <w:i/>
        </w:rPr>
        <w:br w:type="page"/>
      </w:r>
    </w:p>
    <w:p w14:paraId="061E0012" w14:textId="77777777" w:rsidR="008E269A" w:rsidRPr="008E269A" w:rsidRDefault="00FA35B4" w:rsidP="008E269A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90258">
        <w:rPr>
          <w:rFonts w:ascii="Arial" w:hAnsi="Arial" w:cs="Arial"/>
          <w:b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0068FA9C" wp14:editId="5662D97C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ol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69A" w:rsidRPr="008E269A">
        <w:rPr>
          <w:rFonts w:ascii="Arial" w:eastAsia="Times New Roman" w:hAnsi="Arial" w:cs="Arial"/>
          <w:b/>
          <w:i/>
          <w:iCs/>
          <w:color w:val="000000"/>
          <w:lang w:eastAsia="en-GB"/>
        </w:rPr>
        <w:t>The use of digital technology as a source of information and/or a collection of tool</w:t>
      </w:r>
      <w:r w:rsidR="00A41A1F">
        <w:rPr>
          <w:rFonts w:ascii="Arial" w:eastAsia="Times New Roman" w:hAnsi="Arial" w:cs="Arial"/>
          <w:b/>
          <w:i/>
          <w:iCs/>
          <w:color w:val="000000"/>
          <w:lang w:eastAsia="en-GB"/>
        </w:rPr>
        <w:t>s for completing specific tasks</w:t>
      </w:r>
    </w:p>
    <w:p w14:paraId="47F559CD" w14:textId="77777777" w:rsidR="005C2A65" w:rsidRPr="00890258" w:rsidRDefault="005C2A65" w:rsidP="008E269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A82EE35" w14:textId="147260A7" w:rsidR="005C2A65" w:rsidRPr="00890258" w:rsidRDefault="005C2A65" w:rsidP="005C2A65">
      <w:pPr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Much of what is commonly described as eLearning is situated within this category</w:t>
      </w:r>
      <w:r w:rsidR="00DA44AD">
        <w:rPr>
          <w:rFonts w:ascii="Arial" w:eastAsia="Times New Roman" w:hAnsi="Arial" w:cs="Arial"/>
          <w:color w:val="000000"/>
          <w:lang w:eastAsia="en-GB"/>
        </w:rPr>
        <w:t>,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 even though for the most part </w:t>
      </w:r>
      <w:r w:rsidR="00435E30">
        <w:rPr>
          <w:rFonts w:ascii="Arial" w:eastAsia="Times New Roman" w:hAnsi="Arial" w:cs="Arial"/>
          <w:color w:val="000000"/>
          <w:lang w:eastAsia="en-GB"/>
        </w:rPr>
        <w:t>it is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 used </w:t>
      </w:r>
      <w:r w:rsidR="00F73AE3">
        <w:rPr>
          <w:rFonts w:ascii="Arial" w:eastAsia="Times New Roman" w:hAnsi="Arial" w:cs="Arial"/>
          <w:color w:val="000000"/>
          <w:lang w:eastAsia="en-GB"/>
        </w:rPr>
        <w:t xml:space="preserve">simply to </w:t>
      </w:r>
      <w:r w:rsidRPr="008E269A">
        <w:rPr>
          <w:rFonts w:ascii="Arial" w:eastAsia="Times New Roman" w:hAnsi="Arial" w:cs="Arial"/>
          <w:color w:val="000000"/>
          <w:lang w:eastAsia="en-GB"/>
        </w:rPr>
        <w:t>bro</w:t>
      </w:r>
      <w:r w:rsidR="00E20B44">
        <w:rPr>
          <w:rFonts w:ascii="Arial" w:eastAsia="Times New Roman" w:hAnsi="Arial" w:cs="Arial"/>
          <w:color w:val="000000"/>
          <w:lang w:eastAsia="en-GB"/>
        </w:rPr>
        <w:t>adcast information to students</w:t>
      </w:r>
      <w:r w:rsidR="00DA44AD">
        <w:rPr>
          <w:rFonts w:ascii="Arial" w:eastAsia="Times New Roman" w:hAnsi="Arial" w:cs="Arial"/>
          <w:color w:val="000000"/>
          <w:lang w:eastAsia="en-GB"/>
        </w:rPr>
        <w:t>.</w:t>
      </w:r>
      <w:r w:rsidR="00E20B44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DA44AD">
        <w:rPr>
          <w:rFonts w:ascii="Arial" w:eastAsia="Times New Roman" w:hAnsi="Arial" w:cs="Arial"/>
          <w:color w:val="000000"/>
          <w:lang w:eastAsia="en-GB"/>
        </w:rPr>
        <w:t>Here, t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echnology </w:t>
      </w:r>
      <w:r w:rsidR="00DA44AD">
        <w:rPr>
          <w:rFonts w:ascii="Arial" w:eastAsia="Times New Roman" w:hAnsi="Arial" w:cs="Arial"/>
          <w:color w:val="000000"/>
          <w:lang w:eastAsia="en-GB"/>
        </w:rPr>
        <w:t xml:space="preserve">is seen </w:t>
      </w:r>
      <w:r w:rsidRPr="008E269A">
        <w:rPr>
          <w:rFonts w:ascii="Arial" w:eastAsia="Times New Roman" w:hAnsi="Arial" w:cs="Arial"/>
          <w:color w:val="000000"/>
          <w:lang w:eastAsia="en-GB"/>
        </w:rPr>
        <w:t>as a means to provide access to and distribute content.</w:t>
      </w:r>
      <w:r w:rsidR="00A41A1F">
        <w:rPr>
          <w:rFonts w:ascii="Arial" w:eastAsia="Times New Roman" w:hAnsi="Arial" w:cs="Arial"/>
          <w:color w:val="000000"/>
          <w:lang w:eastAsia="en-GB"/>
        </w:rPr>
        <w:t xml:space="preserve"> Activit</w:t>
      </w:r>
      <w:r w:rsidR="00DA44AD">
        <w:rPr>
          <w:rFonts w:ascii="Arial" w:eastAsia="Times New Roman" w:hAnsi="Arial" w:cs="Arial"/>
          <w:color w:val="000000"/>
          <w:lang w:eastAsia="en-GB"/>
        </w:rPr>
        <w:t>ies</w:t>
      </w:r>
      <w:r w:rsidR="00A41A1F">
        <w:rPr>
          <w:rFonts w:ascii="Arial" w:eastAsia="Times New Roman" w:hAnsi="Arial" w:cs="Arial"/>
          <w:color w:val="000000"/>
          <w:lang w:eastAsia="en-GB"/>
        </w:rPr>
        <w:t xml:space="preserve"> in this category leave behind no social traces.</w:t>
      </w:r>
    </w:p>
    <w:p w14:paraId="7BF92DD5" w14:textId="2D7B4D98" w:rsidR="008E269A" w:rsidRPr="008E269A" w:rsidRDefault="008E269A" w:rsidP="005C2A65">
      <w:pPr>
        <w:rPr>
          <w:rFonts w:ascii="Arial" w:hAnsi="Arial" w:cs="Arial"/>
        </w:rPr>
      </w:pPr>
      <w:r w:rsidRPr="00890258">
        <w:rPr>
          <w:rFonts w:ascii="Arial" w:hAnsi="Arial" w:cs="Arial"/>
          <w:b/>
          <w:color w:val="767171" w:themeColor="background2" w:themeShade="80"/>
        </w:rPr>
        <w:t>Capabilities required</w:t>
      </w:r>
      <w:r w:rsidR="005C2A65" w:rsidRPr="00890258">
        <w:rPr>
          <w:rFonts w:ascii="Arial" w:hAnsi="Arial" w:cs="Arial"/>
          <w:b/>
          <w:color w:val="767171" w:themeColor="background2" w:themeShade="80"/>
        </w:rPr>
        <w:t xml:space="preserve"> to engage within this category</w:t>
      </w:r>
      <w:r w:rsidR="00DA44AD">
        <w:rPr>
          <w:rFonts w:ascii="Arial" w:hAnsi="Arial" w:cs="Arial"/>
          <w:b/>
          <w:color w:val="767171" w:themeColor="background2" w:themeShade="80"/>
        </w:rPr>
        <w:br/>
      </w:r>
      <w:r w:rsidR="00F73AE3">
        <w:rPr>
          <w:rFonts w:ascii="Arial" w:hAnsi="Arial" w:cs="Arial"/>
        </w:rPr>
        <w:br/>
      </w:r>
      <w:proofErr w:type="gramStart"/>
      <w:r w:rsidR="00F73AE3">
        <w:rPr>
          <w:rFonts w:ascii="Arial" w:eastAsia="Times New Roman" w:hAnsi="Arial" w:cs="Arial"/>
          <w:color w:val="000000"/>
          <w:lang w:eastAsia="en-GB"/>
        </w:rPr>
        <w:t>The</w:t>
      </w:r>
      <w:proofErr w:type="gramEnd"/>
      <w:r w:rsidR="00F73AE3">
        <w:rPr>
          <w:rFonts w:ascii="Arial" w:eastAsia="Times New Roman" w:hAnsi="Arial" w:cs="Arial"/>
          <w:color w:val="000000"/>
          <w:lang w:eastAsia="en-GB"/>
        </w:rPr>
        <w:t xml:space="preserve"> ability to access technology and to get online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-</w:t>
      </w:r>
      <w:r w:rsidR="00F73AE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35E30">
        <w:rPr>
          <w:rFonts w:ascii="Arial" w:eastAsia="Times New Roman" w:hAnsi="Arial" w:cs="Arial"/>
          <w:color w:val="000000"/>
          <w:lang w:eastAsia="en-GB"/>
        </w:rPr>
        <w:t xml:space="preserve">searching and browsing 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skills - </w:t>
      </w:r>
      <w:r w:rsidRPr="008E269A">
        <w:rPr>
          <w:rFonts w:ascii="Arial" w:eastAsia="Times New Roman" w:hAnsi="Arial" w:cs="Arial"/>
          <w:color w:val="000000"/>
          <w:lang w:eastAsia="en-GB"/>
        </w:rPr>
        <w:t>a range of critical thinking/evaluation abilities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73AE3">
        <w:rPr>
          <w:rFonts w:ascii="Arial" w:eastAsia="Times New Roman" w:hAnsi="Arial" w:cs="Arial"/>
          <w:color w:val="000000"/>
          <w:lang w:eastAsia="en-GB"/>
        </w:rPr>
        <w:t>–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73AE3">
        <w:rPr>
          <w:rFonts w:ascii="Arial" w:eastAsia="Times New Roman" w:hAnsi="Arial" w:cs="Arial"/>
          <w:color w:val="000000"/>
          <w:lang w:eastAsia="en-GB"/>
        </w:rPr>
        <w:t>skills in specific software,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73AE3">
        <w:rPr>
          <w:rFonts w:ascii="Arial" w:eastAsia="Times New Roman" w:hAnsi="Arial" w:cs="Arial"/>
          <w:color w:val="000000"/>
          <w:lang w:eastAsia="en-GB"/>
        </w:rPr>
        <w:t xml:space="preserve">e.g. the use of </w:t>
      </w:r>
      <w:r w:rsidR="00A06540">
        <w:rPr>
          <w:rFonts w:ascii="Arial" w:eastAsia="Times New Roman" w:hAnsi="Arial" w:cs="Arial"/>
          <w:color w:val="000000"/>
          <w:lang w:eastAsia="en-GB"/>
        </w:rPr>
        <w:t>Photoshop</w:t>
      </w:r>
      <w:r w:rsidRPr="008E269A">
        <w:rPr>
          <w:rFonts w:ascii="Arial" w:eastAsia="Times New Roman" w:hAnsi="Arial" w:cs="Arial"/>
          <w:color w:val="000000"/>
          <w:lang w:eastAsia="en-GB"/>
        </w:rPr>
        <w:t>. This is the category in which students have a high level of expectation for institutional provision</w:t>
      </w:r>
      <w:r w:rsidR="00DA44AD">
        <w:rPr>
          <w:rFonts w:ascii="Arial" w:eastAsia="Times New Roman" w:hAnsi="Arial" w:cs="Arial"/>
          <w:color w:val="000000"/>
          <w:lang w:eastAsia="en-GB"/>
        </w:rPr>
        <w:t xml:space="preserve">, and </w:t>
      </w:r>
      <w:r w:rsidR="00F73AE3">
        <w:rPr>
          <w:rFonts w:ascii="Arial" w:eastAsia="Times New Roman" w:hAnsi="Arial" w:cs="Arial"/>
          <w:color w:val="000000"/>
          <w:lang w:eastAsia="en-GB"/>
        </w:rPr>
        <w:t xml:space="preserve">in 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which </w:t>
      </w:r>
      <w:r w:rsidR="00DA44AD">
        <w:rPr>
          <w:rFonts w:ascii="Arial" w:eastAsia="Times New Roman" w:hAnsi="Arial" w:cs="Arial"/>
          <w:color w:val="000000"/>
          <w:lang w:eastAsia="en-GB"/>
        </w:rPr>
        <w:t>they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 most commonly operate as they move through their programmes of study. </w:t>
      </w:r>
    </w:p>
    <w:p w14:paraId="216048A1" w14:textId="77777777" w:rsidR="005C2A65" w:rsidRPr="008E269A" w:rsidRDefault="005C2A65" w:rsidP="005C2A65">
      <w:pPr>
        <w:spacing w:after="0" w:line="240" w:lineRule="auto"/>
        <w:rPr>
          <w:rFonts w:ascii="Arial" w:eastAsia="Times New Roman" w:hAnsi="Arial" w:cs="Arial"/>
          <w:b/>
          <w:color w:val="767171" w:themeColor="background2" w:themeShade="80"/>
          <w:lang w:eastAsia="en-GB"/>
        </w:rPr>
      </w:pPr>
      <w:r w:rsidRPr="008E269A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Exampl</w:t>
      </w:r>
      <w:r w:rsidRPr="00890258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es of activity in this category</w:t>
      </w:r>
      <w:r w:rsidR="00DA44AD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</w:p>
    <w:p w14:paraId="05CF12E5" w14:textId="77777777" w:rsidR="005C2A65" w:rsidRPr="008E269A" w:rsidRDefault="005C2A65" w:rsidP="005C2A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 xml:space="preserve">Looking up </w:t>
      </w:r>
      <w:r w:rsidR="00F73AE3">
        <w:rPr>
          <w:rFonts w:ascii="Arial" w:eastAsia="Times New Roman" w:hAnsi="Arial" w:cs="Arial"/>
          <w:color w:val="000000"/>
          <w:lang w:eastAsia="en-GB"/>
        </w:rPr>
        <w:t>information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 on Wikipedia</w:t>
      </w:r>
    </w:p>
    <w:p w14:paraId="74149CD3" w14:textId="77777777" w:rsidR="005C2A65" w:rsidRPr="008E269A" w:rsidRDefault="005C2A65" w:rsidP="005C2A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 xml:space="preserve">Finding an appropriate </w:t>
      </w:r>
      <w:proofErr w:type="spellStart"/>
      <w:r w:rsidRPr="008E269A">
        <w:rPr>
          <w:rFonts w:ascii="Arial" w:eastAsia="Times New Roman" w:hAnsi="Arial" w:cs="Arial"/>
          <w:color w:val="000000"/>
          <w:lang w:eastAsia="en-GB"/>
        </w:rPr>
        <w:t>eJournal</w:t>
      </w:r>
      <w:proofErr w:type="spellEnd"/>
      <w:r w:rsidRPr="008E269A">
        <w:rPr>
          <w:rFonts w:ascii="Arial" w:eastAsia="Times New Roman" w:hAnsi="Arial" w:cs="Arial"/>
          <w:color w:val="000000"/>
          <w:lang w:eastAsia="en-GB"/>
        </w:rPr>
        <w:t xml:space="preserve"> from the library</w:t>
      </w:r>
    </w:p>
    <w:p w14:paraId="55D14F59" w14:textId="77777777" w:rsidR="005C2A65" w:rsidRPr="008E269A" w:rsidRDefault="005C2A65" w:rsidP="005C2A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 xml:space="preserve">Reviewing a PowerPoint on Moodle </w:t>
      </w:r>
    </w:p>
    <w:p w14:paraId="59DDFD8B" w14:textId="77777777" w:rsidR="005C2A65" w:rsidRPr="008E269A" w:rsidRDefault="005C2A65" w:rsidP="005C2A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90258">
        <w:rPr>
          <w:rFonts w:ascii="Arial" w:eastAsia="Times New Roman" w:hAnsi="Arial" w:cs="Arial"/>
          <w:color w:val="000000"/>
          <w:lang w:eastAsia="en-GB"/>
        </w:rPr>
        <w:t>Discovering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 image</w:t>
      </w:r>
      <w:r w:rsidRPr="00890258">
        <w:rPr>
          <w:rFonts w:ascii="Arial" w:eastAsia="Times New Roman" w:hAnsi="Arial" w:cs="Arial"/>
          <w:color w:val="000000"/>
          <w:lang w:eastAsia="en-GB"/>
        </w:rPr>
        <w:t>s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 on Flickr</w:t>
      </w:r>
    </w:p>
    <w:p w14:paraId="3454B322" w14:textId="77777777" w:rsidR="005C2A65" w:rsidRPr="008E269A" w:rsidRDefault="005C2A65" w:rsidP="005C2A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Submitting an assignment via Moodle</w:t>
      </w:r>
    </w:p>
    <w:p w14:paraId="3068FFEF" w14:textId="25FFC550" w:rsidR="007E5CE4" w:rsidRDefault="005C2A65" w:rsidP="008E269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 xml:space="preserve">Using Photoshop, Word, Excel or any other software </w:t>
      </w:r>
    </w:p>
    <w:p w14:paraId="7D899B81" w14:textId="4444FF37" w:rsidR="00F73AE3" w:rsidRPr="00A75D08" w:rsidRDefault="007E5CE4" w:rsidP="00A75D0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DA44AD">
        <w:rPr>
          <w:rFonts w:ascii="Arial" w:eastAsia="Times New Roman" w:hAnsi="Arial" w:cs="Arial"/>
          <w:color w:val="000000"/>
          <w:lang w:eastAsia="en-GB"/>
        </w:rPr>
        <w:t>‘</w:t>
      </w:r>
      <w:r w:rsidR="00F73AE3" w:rsidRPr="00DA44AD">
        <w:rPr>
          <w:rFonts w:ascii="Arial" w:eastAsia="Times New Roman" w:hAnsi="Arial" w:cs="Arial"/>
          <w:color w:val="000000"/>
          <w:lang w:eastAsia="en-GB"/>
        </w:rPr>
        <w:t>Elegant l</w:t>
      </w:r>
      <w:r w:rsidRPr="00DA44AD">
        <w:rPr>
          <w:rFonts w:ascii="Arial" w:eastAsia="Times New Roman" w:hAnsi="Arial" w:cs="Arial"/>
          <w:color w:val="000000"/>
          <w:lang w:eastAsia="en-GB"/>
        </w:rPr>
        <w:t>urking’ in forums or Social Media</w:t>
      </w:r>
      <w:r w:rsidR="00F73AE3" w:rsidRPr="00DA44AD">
        <w:rPr>
          <w:rFonts w:ascii="Arial" w:eastAsia="Times New Roman" w:hAnsi="Arial" w:cs="Arial"/>
          <w:color w:val="000000"/>
          <w:lang w:eastAsia="en-GB"/>
        </w:rPr>
        <w:t xml:space="preserve"> (‘watching’ discourse)</w:t>
      </w:r>
    </w:p>
    <w:p w14:paraId="231F93CF" w14:textId="77777777" w:rsidR="00F73AE3" w:rsidRDefault="00F73AE3" w:rsidP="00F73A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4D88FB6" w14:textId="77777777" w:rsidR="008E269A" w:rsidRPr="008E269A" w:rsidRDefault="005C2A65" w:rsidP="005C2A65">
      <w:pPr>
        <w:rPr>
          <w:rFonts w:ascii="Arial" w:eastAsia="Times New Roman" w:hAnsi="Arial" w:cs="Arial"/>
          <w:b/>
          <w:color w:val="000000"/>
          <w:lang w:eastAsia="en-GB"/>
        </w:rPr>
      </w:pPr>
      <w:r w:rsidRPr="00890258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13B271B" wp14:editId="655829AC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9398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258">
        <w:rPr>
          <w:rFonts w:ascii="Arial" w:eastAsia="Times New Roman" w:hAnsi="Arial" w:cs="Arial"/>
          <w:color w:val="000000"/>
          <w:lang w:eastAsia="en-GB"/>
        </w:rPr>
        <w:br/>
      </w:r>
      <w:r w:rsidR="008E269A" w:rsidRPr="008E269A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The use of </w:t>
      </w:r>
      <w:r w:rsidR="00FA35B4">
        <w:rPr>
          <w:rFonts w:ascii="Arial" w:eastAsia="Times New Roman" w:hAnsi="Arial" w:cs="Arial"/>
          <w:b/>
          <w:i/>
          <w:iCs/>
          <w:color w:val="000000"/>
          <w:lang w:eastAsia="en-GB"/>
        </w:rPr>
        <w:t>the Web</w:t>
      </w:r>
      <w:r w:rsidR="00A41A1F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 to present work</w:t>
      </w:r>
    </w:p>
    <w:p w14:paraId="130E28EA" w14:textId="00FC2EF4" w:rsidR="008E269A" w:rsidRPr="00A75D08" w:rsidRDefault="00A75D08" w:rsidP="008E269A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75D08">
        <w:rPr>
          <w:rFonts w:ascii="Arial" w:hAnsi="Arial" w:cs="Arial"/>
        </w:rPr>
        <w:t>This category is particularly relevant for students working in creative disciplines where their persona and creative outputs are highly intertwined. The notion of ‘audience’ in an o</w:t>
      </w:r>
      <w:r w:rsidR="007A6F9F">
        <w:rPr>
          <w:rFonts w:ascii="Arial" w:hAnsi="Arial" w:cs="Arial"/>
        </w:rPr>
        <w:t>nline context becomes relevant.</w:t>
      </w:r>
      <w:r w:rsidRPr="00A75D08">
        <w:rPr>
          <w:rFonts w:ascii="Arial" w:hAnsi="Arial" w:cs="Arial"/>
        </w:rPr>
        <w:t xml:space="preserve"> </w:t>
      </w:r>
      <w:r w:rsidR="00A41A1F" w:rsidRPr="00A75D08">
        <w:rPr>
          <w:rFonts w:ascii="Arial" w:eastAsia="Times New Roman" w:hAnsi="Arial" w:cs="Arial"/>
          <w:color w:val="000000"/>
          <w:lang w:eastAsia="en-GB"/>
        </w:rPr>
        <w:t>Activity in this category presents an indi</w:t>
      </w:r>
      <w:r w:rsidR="007A6F9F">
        <w:rPr>
          <w:rFonts w:ascii="Arial" w:eastAsia="Times New Roman" w:hAnsi="Arial" w:cs="Arial"/>
          <w:color w:val="000000"/>
          <w:lang w:eastAsia="en-GB"/>
        </w:rPr>
        <w:t xml:space="preserve">vidual’s persona via their work and so leaves a trace via artefacts online. </w:t>
      </w:r>
      <w:r w:rsidR="00A41A1F" w:rsidRPr="00A75D08">
        <w:rPr>
          <w:rFonts w:ascii="Arial" w:eastAsia="Times New Roman" w:hAnsi="Arial" w:cs="Arial"/>
          <w:color w:val="000000"/>
          <w:lang w:eastAsia="en-GB"/>
        </w:rPr>
        <w:t xml:space="preserve">  </w:t>
      </w:r>
    </w:p>
    <w:p w14:paraId="21444CC9" w14:textId="77777777" w:rsidR="005C2A65" w:rsidRPr="00890258" w:rsidRDefault="005C2A65" w:rsidP="008E269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54428233" w14:textId="78A21AC8" w:rsidR="008E269A" w:rsidRPr="008E269A" w:rsidRDefault="008E269A" w:rsidP="008E269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Presenting work online is now a key factor in becoming established in a given field</w:t>
      </w:r>
      <w:r w:rsidR="007340C3">
        <w:rPr>
          <w:rFonts w:ascii="Arial" w:eastAsia="Times New Roman" w:hAnsi="Arial" w:cs="Arial"/>
          <w:color w:val="000000"/>
          <w:lang w:eastAsia="en-GB"/>
        </w:rPr>
        <w:t xml:space="preserve">, but is </w:t>
      </w:r>
      <w:r w:rsidRPr="008E269A">
        <w:rPr>
          <w:rFonts w:ascii="Arial" w:eastAsia="Times New Roman" w:hAnsi="Arial" w:cs="Arial"/>
          <w:color w:val="000000"/>
          <w:lang w:eastAsia="en-GB"/>
        </w:rPr>
        <w:t>an area which students often find daunting. Activity in this category is also usually undertaken in a ‘broadcast’ mode. This is about presenting work but not necessarily reflecting on it or engaging in discussion around it</w:t>
      </w:r>
      <w:r w:rsidR="00A41A1F">
        <w:rPr>
          <w:rFonts w:ascii="Arial" w:eastAsia="Times New Roman" w:hAnsi="Arial" w:cs="Arial"/>
          <w:color w:val="000000"/>
          <w:lang w:eastAsia="en-GB"/>
        </w:rPr>
        <w:t xml:space="preserve"> online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="007340C3">
        <w:rPr>
          <w:rFonts w:ascii="Arial" w:eastAsia="Times New Roman" w:hAnsi="Arial" w:cs="Arial"/>
          <w:color w:val="000000"/>
          <w:lang w:eastAsia="en-GB"/>
        </w:rPr>
        <w:t>Students’</w:t>
      </w:r>
      <w:r w:rsidR="007340C3" w:rsidRPr="008E269A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E269A">
        <w:rPr>
          <w:rFonts w:ascii="Arial" w:eastAsia="Times New Roman" w:hAnsi="Arial" w:cs="Arial"/>
          <w:color w:val="000000"/>
          <w:lang w:eastAsia="en-GB"/>
        </w:rPr>
        <w:t xml:space="preserve">‘work’ is </w:t>
      </w:r>
      <w:r w:rsidR="00DA44AD">
        <w:rPr>
          <w:rFonts w:ascii="Arial" w:eastAsia="Times New Roman" w:hAnsi="Arial" w:cs="Arial"/>
          <w:color w:val="000000"/>
          <w:lang w:eastAsia="en-GB"/>
        </w:rPr>
        <w:t>likely to be</w:t>
      </w:r>
      <w:r w:rsidR="00DA44AD" w:rsidRPr="008E269A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E269A">
        <w:rPr>
          <w:rFonts w:ascii="Arial" w:eastAsia="Times New Roman" w:hAnsi="Arial" w:cs="Arial"/>
          <w:color w:val="000000"/>
          <w:lang w:eastAsia="en-GB"/>
        </w:rPr>
        <w:t>created offline and t</w:t>
      </w:r>
      <w:r w:rsidR="00A06540">
        <w:rPr>
          <w:rFonts w:ascii="Arial" w:eastAsia="Times New Roman" w:hAnsi="Arial" w:cs="Arial"/>
          <w:color w:val="000000"/>
          <w:lang w:eastAsia="en-GB"/>
        </w:rPr>
        <w:t>hen posted to the Web when it’</w:t>
      </w:r>
      <w:r w:rsidRPr="008E269A">
        <w:rPr>
          <w:rFonts w:ascii="Arial" w:eastAsia="Times New Roman" w:hAnsi="Arial" w:cs="Arial"/>
          <w:color w:val="000000"/>
          <w:lang w:eastAsia="en-GB"/>
        </w:rPr>
        <w:t>s completed.</w:t>
      </w:r>
      <w:r w:rsidR="007A6F9F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1689CDCC" w14:textId="77777777" w:rsidR="008E269A" w:rsidRPr="008E269A" w:rsidRDefault="008E269A" w:rsidP="008E269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FA8DAD5" w14:textId="77777777" w:rsidR="008E269A" w:rsidRPr="008E269A" w:rsidRDefault="008E269A" w:rsidP="008E269A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lang w:eastAsia="en-GB"/>
        </w:rPr>
      </w:pPr>
      <w:r w:rsidRPr="008E269A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Capabilities required</w:t>
      </w:r>
      <w:r w:rsidR="005C2A65" w:rsidRPr="00890258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 xml:space="preserve"> to engage within this category</w:t>
      </w:r>
      <w:r w:rsidR="00DA44AD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</w:p>
    <w:p w14:paraId="4BE00168" w14:textId="77777777" w:rsidR="008E269A" w:rsidRPr="00890258" w:rsidRDefault="008E269A" w:rsidP="008E269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The ability to convert work into digital formats. The ability to curate work and present it online in a format which resonates with relevant audiences. This category also requires</w:t>
      </w:r>
      <w:r w:rsidR="005C2A65" w:rsidRPr="00890258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E269A">
        <w:rPr>
          <w:rFonts w:ascii="Arial" w:eastAsia="Times New Roman" w:hAnsi="Arial" w:cs="Arial"/>
          <w:color w:val="000000"/>
          <w:lang w:eastAsia="en-GB"/>
        </w:rPr>
        <w:t>the individual to have a sense of themselves as a practitioner and the confidence to begin to express their practitioner-identity via their work.  </w:t>
      </w:r>
    </w:p>
    <w:p w14:paraId="6BA2DF6D" w14:textId="77777777" w:rsidR="005C2A65" w:rsidRPr="00890258" w:rsidRDefault="005C2A65" w:rsidP="005C2A6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626240F9" w14:textId="77777777" w:rsidR="005C2A65" w:rsidRPr="008E269A" w:rsidRDefault="005C2A65" w:rsidP="005C2A65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lang w:eastAsia="en-GB"/>
        </w:rPr>
      </w:pPr>
      <w:r w:rsidRPr="008E269A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Examples of act</w:t>
      </w:r>
      <w:r w:rsidR="00890258" w:rsidRPr="00890258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ivity in this category</w:t>
      </w:r>
      <w:r w:rsidR="00DA44AD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</w:p>
    <w:p w14:paraId="6E636B58" w14:textId="77777777" w:rsidR="005C2A65" w:rsidRPr="008E269A" w:rsidRDefault="005C2A65" w:rsidP="005C2A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Posting work to Flickr</w:t>
      </w:r>
    </w:p>
    <w:p w14:paraId="7719F578" w14:textId="77777777" w:rsidR="005C2A65" w:rsidRPr="008E269A" w:rsidRDefault="005C2A65" w:rsidP="005C2A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Creating a basic LinkedIn profile</w:t>
      </w:r>
    </w:p>
    <w:p w14:paraId="39EAE904" w14:textId="77777777" w:rsidR="005C2A65" w:rsidRPr="008E269A" w:rsidRDefault="005C2A65" w:rsidP="005C2A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 xml:space="preserve">Creating an ‘open’ </w:t>
      </w:r>
      <w:proofErr w:type="spellStart"/>
      <w:r w:rsidRPr="008E269A">
        <w:rPr>
          <w:rFonts w:ascii="Arial" w:eastAsia="Times New Roman" w:hAnsi="Arial" w:cs="Arial"/>
          <w:color w:val="000000"/>
          <w:lang w:eastAsia="en-GB"/>
        </w:rPr>
        <w:t>ePortfolio</w:t>
      </w:r>
      <w:proofErr w:type="spellEnd"/>
      <w:r w:rsidRPr="008E269A">
        <w:rPr>
          <w:rFonts w:ascii="Arial" w:eastAsia="Times New Roman" w:hAnsi="Arial" w:cs="Arial"/>
          <w:color w:val="000000"/>
          <w:lang w:eastAsia="en-GB"/>
        </w:rPr>
        <w:t xml:space="preserve"> site</w:t>
      </w:r>
    </w:p>
    <w:p w14:paraId="03FA1201" w14:textId="77777777" w:rsidR="005C2A65" w:rsidRPr="008E269A" w:rsidRDefault="005C2A65" w:rsidP="005C2A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E269A">
        <w:rPr>
          <w:rFonts w:ascii="Arial" w:eastAsia="Times New Roman" w:hAnsi="Arial" w:cs="Arial"/>
          <w:color w:val="000000"/>
          <w:lang w:eastAsia="en-GB"/>
        </w:rPr>
        <w:t>Setting up a basic personal website</w:t>
      </w:r>
    </w:p>
    <w:p w14:paraId="2B9151C8" w14:textId="77777777" w:rsidR="005C2A65" w:rsidRPr="008E269A" w:rsidRDefault="005C2A65" w:rsidP="008E269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0FB3FF3" w14:textId="77777777" w:rsidR="005C2A65" w:rsidRPr="005C2A65" w:rsidRDefault="005C2A65" w:rsidP="005C2A65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  <w:r w:rsidRPr="00890258">
        <w:rPr>
          <w:b/>
          <w:noProof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 wp14:anchorId="18025F3F" wp14:editId="2E0CBB5F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ac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A65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The Web as a series of spaces/places in which we can </w:t>
      </w:r>
      <w:r w:rsidR="00FA35B4">
        <w:rPr>
          <w:rFonts w:ascii="Arial" w:eastAsia="Times New Roman" w:hAnsi="Arial" w:cs="Arial"/>
          <w:b/>
          <w:i/>
          <w:iCs/>
          <w:color w:val="000000"/>
          <w:lang w:eastAsia="en-GB"/>
        </w:rPr>
        <w:t>be co-present with others, enacting practice and engaging</w:t>
      </w:r>
      <w:r w:rsidRPr="005C2A65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 in discourse</w:t>
      </w:r>
    </w:p>
    <w:p w14:paraId="41D0FC08" w14:textId="77777777" w:rsidR="005C2A65" w:rsidRPr="005C2A65" w:rsidRDefault="005C2A65" w:rsidP="005C2A65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961A5F0" w14:textId="20E55719" w:rsidR="005C2A65" w:rsidRPr="005C2A65" w:rsidRDefault="005C2A65" w:rsidP="005C2A65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>Activity in this category is predicated on the socially conn</w:t>
      </w:r>
      <w:r w:rsidR="00A06540">
        <w:rPr>
          <w:rFonts w:ascii="Arial" w:eastAsia="Times New Roman" w:hAnsi="Arial" w:cs="Arial"/>
          <w:color w:val="000000"/>
          <w:lang w:eastAsia="en-GB"/>
        </w:rPr>
        <w:t>ected nature of much of the Web</w:t>
      </w:r>
      <w:r w:rsidR="007340C3">
        <w:rPr>
          <w:rFonts w:ascii="Arial" w:eastAsia="Times New Roman" w:hAnsi="Arial" w:cs="Arial"/>
          <w:color w:val="000000"/>
          <w:lang w:eastAsia="en-GB"/>
        </w:rPr>
        <w:t>. The Web is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transform</w:t>
      </w:r>
      <w:r w:rsidR="007340C3">
        <w:rPr>
          <w:rFonts w:ascii="Arial" w:eastAsia="Times New Roman" w:hAnsi="Arial" w:cs="Arial"/>
          <w:color w:val="000000"/>
          <w:lang w:eastAsia="en-GB"/>
        </w:rPr>
        <w:t>ed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into a location where </w:t>
      </w:r>
      <w:r w:rsidR="007340C3">
        <w:rPr>
          <w:rFonts w:ascii="Arial" w:eastAsia="Times New Roman" w:hAnsi="Arial" w:cs="Arial"/>
          <w:color w:val="000000"/>
          <w:lang w:eastAsia="en-GB"/>
        </w:rPr>
        <w:t xml:space="preserve">thinking and making 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can be developed in tandem </w:t>
      </w:r>
      <w:r w:rsidRPr="005C2A65">
        <w:rPr>
          <w:rFonts w:ascii="Arial" w:eastAsia="Times New Roman" w:hAnsi="Arial" w:cs="Arial"/>
          <w:color w:val="000000"/>
          <w:lang w:eastAsia="en-GB"/>
        </w:rPr>
        <w:t xml:space="preserve">in a networked or communal manner. In this category individuals are motivated to go online to be present with others in some form. This could be in a highly open manner (reached by anyone via 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a </w:t>
      </w:r>
      <w:r w:rsidRPr="005C2A65">
        <w:rPr>
          <w:rFonts w:ascii="Arial" w:eastAsia="Times New Roman" w:hAnsi="Arial" w:cs="Arial"/>
          <w:color w:val="000000"/>
          <w:lang w:eastAsia="en-GB"/>
        </w:rPr>
        <w:t>Google</w:t>
      </w:r>
      <w:r w:rsidR="00A06540">
        <w:rPr>
          <w:rFonts w:ascii="Arial" w:eastAsia="Times New Roman" w:hAnsi="Arial" w:cs="Arial"/>
          <w:color w:val="000000"/>
          <w:lang w:eastAsia="en-GB"/>
        </w:rPr>
        <w:t xml:space="preserve"> search</w:t>
      </w:r>
      <w:r w:rsidRPr="005C2A65">
        <w:rPr>
          <w:rFonts w:ascii="Arial" w:eastAsia="Times New Roman" w:hAnsi="Arial" w:cs="Arial"/>
          <w:color w:val="000000"/>
          <w:lang w:eastAsia="en-GB"/>
        </w:rPr>
        <w:t xml:space="preserve"> for example) or within known groups or communities. Operating in this category requires some form of digital identity and leaves behind social traces online.</w:t>
      </w:r>
    </w:p>
    <w:p w14:paraId="02279DC4" w14:textId="77777777" w:rsidR="007E5CE4" w:rsidRPr="005C2A65" w:rsidRDefault="007E5CE4" w:rsidP="007E5CE4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lang w:eastAsia="en-GB"/>
        </w:rPr>
      </w:pPr>
      <w:r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  <w:r w:rsidRPr="005C2A65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Activity in this category can be divided into a number of areas</w:t>
      </w:r>
      <w:r w:rsidR="007340C3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</w:p>
    <w:p w14:paraId="44DC16CF" w14:textId="77777777" w:rsidR="007E5CE4" w:rsidRPr="005C2A65" w:rsidRDefault="007E5CE4" w:rsidP="007E5CE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Discourse around objects:</w:t>
      </w:r>
      <w:r w:rsidRPr="005C2A65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5C2A65">
        <w:rPr>
          <w:rFonts w:ascii="Arial" w:eastAsia="Times New Roman" w:hAnsi="Arial" w:cs="Arial"/>
          <w:color w:val="000000"/>
          <w:lang w:eastAsia="en-GB"/>
        </w:rPr>
        <w:t>This could be a</w:t>
      </w:r>
      <w:r w:rsidR="007340C3">
        <w:rPr>
          <w:rFonts w:ascii="Arial" w:eastAsia="Times New Roman" w:hAnsi="Arial" w:cs="Arial"/>
          <w:color w:val="000000"/>
          <w:lang w:eastAsia="en-GB"/>
        </w:rPr>
        <w:t>s</w:t>
      </w:r>
      <w:r w:rsidRPr="005C2A65">
        <w:rPr>
          <w:rFonts w:ascii="Arial" w:eastAsia="Times New Roman" w:hAnsi="Arial" w:cs="Arial"/>
          <w:color w:val="000000"/>
          <w:lang w:eastAsia="en-GB"/>
        </w:rPr>
        <w:t xml:space="preserve"> simple as discussing an assignment brief or a creative </w:t>
      </w:r>
      <w:r w:rsidRPr="00890258">
        <w:rPr>
          <w:rFonts w:ascii="Arial" w:eastAsia="Times New Roman" w:hAnsi="Arial" w:cs="Arial"/>
          <w:color w:val="000000"/>
          <w:lang w:eastAsia="en-GB"/>
        </w:rPr>
        <w:t>artefact</w:t>
      </w:r>
      <w:r w:rsidRPr="005C2A65">
        <w:rPr>
          <w:rFonts w:ascii="Arial" w:eastAsia="Times New Roman" w:hAnsi="Arial" w:cs="Arial"/>
          <w:color w:val="000000"/>
          <w:lang w:eastAsia="en-GB"/>
        </w:rPr>
        <w:t xml:space="preserve"> in a Facebook group. </w:t>
      </w:r>
    </w:p>
    <w:p w14:paraId="4A63DC4A" w14:textId="77777777" w:rsidR="007E5CE4" w:rsidRPr="005C2A65" w:rsidRDefault="007E5CE4" w:rsidP="007E5CE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en-GB"/>
        </w:rPr>
      </w:pPr>
      <w:r>
        <w:rPr>
          <w:rFonts w:ascii="Arial" w:eastAsia="Times New Roman" w:hAnsi="Arial" w:cs="Arial"/>
          <w:i/>
          <w:iCs/>
          <w:color w:val="000000"/>
          <w:lang w:eastAsia="en-GB"/>
        </w:rPr>
        <w:t>Evolving work:</w:t>
      </w:r>
      <w:r w:rsidRPr="005C2A65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5C2A65">
        <w:rPr>
          <w:rFonts w:ascii="Arial" w:eastAsia="Times New Roman" w:hAnsi="Arial" w:cs="Arial"/>
          <w:color w:val="000000"/>
          <w:lang w:eastAsia="en-GB"/>
        </w:rPr>
        <w:t>Making the process of producing work visible online and seeking comment/discussion towards developing the work. This can be described as ‘open practice’.</w:t>
      </w:r>
    </w:p>
    <w:p w14:paraId="7406F299" w14:textId="77777777" w:rsidR="005C2A65" w:rsidRPr="005C2A65" w:rsidRDefault="007E5CE4" w:rsidP="005C2A6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5C2A65">
        <w:rPr>
          <w:rFonts w:ascii="Arial" w:eastAsia="Times New Roman" w:hAnsi="Arial" w:cs="Arial"/>
          <w:i/>
          <w:iCs/>
          <w:color w:val="000000"/>
          <w:lang w:eastAsia="en-GB"/>
        </w:rPr>
        <w:t xml:space="preserve">Critique or </w:t>
      </w:r>
      <w:r>
        <w:rPr>
          <w:rFonts w:ascii="Arial" w:eastAsia="Times New Roman" w:hAnsi="Arial" w:cs="Arial"/>
          <w:i/>
          <w:iCs/>
          <w:color w:val="000000"/>
          <w:lang w:eastAsia="en-GB"/>
        </w:rPr>
        <w:t>re-appropriation of the digital:</w:t>
      </w:r>
      <w:r w:rsidRPr="005C2A65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Pr="005C2A65">
        <w:rPr>
          <w:rFonts w:ascii="Arial" w:eastAsia="Times New Roman" w:hAnsi="Arial" w:cs="Arial"/>
          <w:color w:val="000000"/>
          <w:lang w:eastAsia="en-GB"/>
        </w:rPr>
        <w:t>Approaching the digital as a socio</w:t>
      </w:r>
      <w:r w:rsidR="007340C3">
        <w:rPr>
          <w:rFonts w:ascii="Arial" w:eastAsia="Times New Roman" w:hAnsi="Arial" w:cs="Arial"/>
          <w:color w:val="000000"/>
          <w:lang w:eastAsia="en-GB"/>
        </w:rPr>
        <w:t>-</w:t>
      </w:r>
      <w:r w:rsidRPr="005C2A65">
        <w:rPr>
          <w:rFonts w:ascii="Arial" w:eastAsia="Times New Roman" w:hAnsi="Arial" w:cs="Arial"/>
          <w:color w:val="000000"/>
          <w:lang w:eastAsia="en-GB"/>
        </w:rPr>
        <w:t>cultural/visual location to be interpreted through the lens of creative practice.</w:t>
      </w:r>
    </w:p>
    <w:p w14:paraId="4995D11E" w14:textId="77777777" w:rsidR="005C2A65" w:rsidRPr="005C2A65" w:rsidRDefault="005C2A65" w:rsidP="005C2A65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384375B" w14:textId="77777777" w:rsidR="005C2A65" w:rsidRPr="005C2A65" w:rsidRDefault="005C2A65" w:rsidP="005C2A65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lang w:eastAsia="en-GB"/>
        </w:rPr>
      </w:pPr>
      <w:r w:rsidRPr="005C2A65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Capabilities required to engage within this catego</w:t>
      </w:r>
      <w:r w:rsidR="00890258" w:rsidRPr="00890258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ry</w:t>
      </w:r>
      <w:r w:rsidR="007340C3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</w:p>
    <w:p w14:paraId="524C4E29" w14:textId="2F93413B" w:rsidR="007E5CE4" w:rsidRPr="007E5CE4" w:rsidRDefault="005C2A65" w:rsidP="007E5CE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 xml:space="preserve">The ability to express opinions and engage in discourse via a digital identity. The ability to collaborate and the confidence to discuss/present the evolution of ideas and work. In this category individuals have </w:t>
      </w:r>
      <w:r w:rsidR="007340C3"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Pr="005C2A65">
        <w:rPr>
          <w:rFonts w:ascii="Arial" w:eastAsia="Times New Roman" w:hAnsi="Arial" w:cs="Arial"/>
          <w:color w:val="000000"/>
          <w:lang w:eastAsia="en-GB"/>
        </w:rPr>
        <w:t>develop their ‘voice’ or sense of self and be capable of expressing themselves in a variety of modes. Individuals also need to feel a sense belonging to one or more online network/community. Successful activity in this category usually requires individuals to be ‘agile’ in their appropriation of digital technology in the service of their own aims/creative vision.</w:t>
      </w:r>
      <w:r w:rsidR="00890258">
        <w:rPr>
          <w:rFonts w:ascii="Times New Roman" w:eastAsia="Times New Roman" w:hAnsi="Times New Roman" w:cs="Times New Roman"/>
          <w:lang w:eastAsia="en-GB"/>
        </w:rPr>
        <w:br/>
      </w:r>
    </w:p>
    <w:p w14:paraId="545F6C43" w14:textId="77777777" w:rsidR="007E5CE4" w:rsidRPr="005C2A65" w:rsidRDefault="007E5CE4" w:rsidP="007E5CE4">
      <w:pPr>
        <w:spacing w:after="0" w:line="240" w:lineRule="auto"/>
        <w:rPr>
          <w:rFonts w:ascii="Times New Roman" w:eastAsia="Times New Roman" w:hAnsi="Times New Roman" w:cs="Times New Roman"/>
          <w:b/>
          <w:color w:val="767171" w:themeColor="background2" w:themeShade="80"/>
          <w:lang w:eastAsia="en-GB"/>
        </w:rPr>
      </w:pPr>
      <w:r w:rsidRPr="005C2A65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Exampl</w:t>
      </w:r>
      <w:r w:rsidRPr="00890258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t>es of activity in this category</w:t>
      </w:r>
      <w:r w:rsidR="007340C3">
        <w:rPr>
          <w:rFonts w:ascii="Arial" w:eastAsia="Times New Roman" w:hAnsi="Arial" w:cs="Arial"/>
          <w:b/>
          <w:color w:val="767171" w:themeColor="background2" w:themeShade="80"/>
          <w:lang w:eastAsia="en-GB"/>
        </w:rPr>
        <w:br/>
      </w:r>
    </w:p>
    <w:p w14:paraId="6BC9195C" w14:textId="77777777" w:rsidR="007E5CE4" w:rsidRPr="005C2A65" w:rsidRDefault="007E5CE4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>Blogging with an expectation of a response/dialogue</w:t>
      </w:r>
    </w:p>
    <w:p w14:paraId="1CDEC227" w14:textId="194B1667" w:rsidR="007E5CE4" w:rsidRDefault="007E5CE4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 xml:space="preserve">Engaging in dialogue </w:t>
      </w:r>
      <w:r w:rsidR="007340C3">
        <w:rPr>
          <w:rFonts w:ascii="Arial" w:eastAsia="Times New Roman" w:hAnsi="Arial" w:cs="Arial"/>
          <w:color w:val="000000"/>
          <w:lang w:eastAsia="en-GB"/>
        </w:rPr>
        <w:t>o</w:t>
      </w:r>
      <w:r w:rsidRPr="005C2A65">
        <w:rPr>
          <w:rFonts w:ascii="Arial" w:eastAsia="Times New Roman" w:hAnsi="Arial" w:cs="Arial"/>
          <w:color w:val="000000"/>
          <w:lang w:eastAsia="en-GB"/>
        </w:rPr>
        <w:t>n Twitter</w:t>
      </w:r>
    </w:p>
    <w:p w14:paraId="70A7295C" w14:textId="3967C73E" w:rsidR="007A6F9F" w:rsidRPr="005C2A65" w:rsidRDefault="007A6F9F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Collaborating on a group project in Workflow</w:t>
      </w:r>
    </w:p>
    <w:p w14:paraId="28CB2304" w14:textId="77777777" w:rsidR="007E5CE4" w:rsidRPr="005C2A65" w:rsidRDefault="007E5CE4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>Commenting on and discussing images in Flickr</w:t>
      </w:r>
    </w:p>
    <w:p w14:paraId="140B29EC" w14:textId="77777777" w:rsidR="007E5CE4" w:rsidRPr="005C2A65" w:rsidRDefault="007E5CE4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>Being an active member of a Facebook group</w:t>
      </w:r>
    </w:p>
    <w:p w14:paraId="0B53F191" w14:textId="77777777" w:rsidR="007E5CE4" w:rsidRPr="005C2A65" w:rsidRDefault="007E5CE4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>Being an active member of an email list</w:t>
      </w:r>
    </w:p>
    <w:p w14:paraId="2E670F4F" w14:textId="77777777" w:rsidR="007E5CE4" w:rsidRDefault="007E5CE4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5C2A65">
        <w:rPr>
          <w:rFonts w:ascii="Arial" w:eastAsia="Times New Roman" w:hAnsi="Arial" w:cs="Arial"/>
          <w:color w:val="000000"/>
          <w:lang w:eastAsia="en-GB"/>
        </w:rPr>
        <w:t xml:space="preserve">Collaboratively evolving work via a cluster of technologies (Skype, Facebook, Dropbox </w:t>
      </w:r>
      <w:proofErr w:type="spellStart"/>
      <w:r w:rsidRPr="005C2A65">
        <w:rPr>
          <w:rFonts w:ascii="Arial" w:eastAsia="Times New Roman" w:hAnsi="Arial" w:cs="Arial"/>
          <w:color w:val="000000"/>
          <w:lang w:eastAsia="en-GB"/>
        </w:rPr>
        <w:t>etc</w:t>
      </w:r>
      <w:proofErr w:type="spellEnd"/>
      <w:r w:rsidRPr="005C2A65">
        <w:rPr>
          <w:rFonts w:ascii="Arial" w:eastAsia="Times New Roman" w:hAnsi="Arial" w:cs="Arial"/>
          <w:color w:val="000000"/>
          <w:lang w:eastAsia="en-GB"/>
        </w:rPr>
        <w:t>)</w:t>
      </w:r>
    </w:p>
    <w:p w14:paraId="5D536DA3" w14:textId="163D79CE" w:rsidR="007A6F9F" w:rsidRPr="005C2A65" w:rsidRDefault="007A6F9F" w:rsidP="007E5CE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Posting a series of videos documenting the evolution of a project and responding to comments</w:t>
      </w:r>
    </w:p>
    <w:p w14:paraId="42C3160D" w14:textId="77777777" w:rsidR="00FA35B4" w:rsidRDefault="00FA35B4">
      <w:r>
        <w:br w:type="page"/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784"/>
        <w:gridCol w:w="992"/>
        <w:gridCol w:w="992"/>
      </w:tblGrid>
      <w:tr w:rsidR="00FA35B4" w14:paraId="221969F2" w14:textId="77777777" w:rsidTr="00FA35B4"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5131CE15" w14:textId="77777777" w:rsidR="00FA35B4" w:rsidRDefault="00FA35B4" w:rsidP="00F76BB5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97CE9ED" wp14:editId="08270EB4">
                  <wp:extent cx="8613553" cy="5378444"/>
                  <wp:effectExtent l="0" t="1588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L model capabilities CLTADtech Prin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20341" cy="538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BBE1E7" w14:textId="77777777" w:rsidR="00FA35B4" w:rsidRPr="00DF2339" w:rsidRDefault="00FA35B4" w:rsidP="00F76BB5">
            <w:pPr>
              <w:rPr>
                <w:rFonts w:ascii="Arial" w:hAnsi="Arial" w:cs="Arial"/>
                <w:noProof/>
                <w:lang w:eastAsia="en-GB"/>
              </w:rPr>
            </w:pPr>
            <w:r w:rsidRPr="00DF2339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D6BCE8E" wp14:editId="0BDFFC26">
                      <wp:simplePos x="0" y="0"/>
                      <wp:positionH relativeFrom="column">
                        <wp:posOffset>-2702560</wp:posOffset>
                      </wp:positionH>
                      <wp:positionV relativeFrom="paragraph">
                        <wp:posOffset>3020060</wp:posOffset>
                      </wp:positionV>
                      <wp:extent cx="6075045" cy="438150"/>
                      <wp:effectExtent l="0" t="952" r="952" b="953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07504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749AF" w14:textId="77777777" w:rsidR="00FA35B4" w:rsidRPr="005C2A65" w:rsidRDefault="00FA35B4" w:rsidP="00FA35B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A6A6A6" w:themeColor="background1" w:themeShade="A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A6A6A6" w:themeColor="background1" w:themeShade="A6"/>
                                      <w:sz w:val="40"/>
                                      <w:szCs w:val="40"/>
                                    </w:rPr>
                                    <w:t>Technology enhanced Learning services at 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017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2.8pt;margin-top:237.8pt;width:478.35pt;height:34.5pt;rotation: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" stroked="f">
                      <v:textbox>
                        <w:txbxContent>
                          <w:p w:rsidR="00FA35B4" w:rsidRPr="005C2A65" w:rsidRDefault="00FA35B4" w:rsidP="00FA35B4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  <w:t xml:space="preserve">Technology enhanced Learning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  <w:t xml:space="preserve">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  <w:t>at UAL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658CD" w14:textId="77777777" w:rsidR="00FA35B4" w:rsidRPr="00DF2339" w:rsidRDefault="00FA35B4" w:rsidP="00F76BB5">
            <w:pPr>
              <w:rPr>
                <w:rFonts w:ascii="Arial" w:hAnsi="Arial" w:cs="Arial"/>
              </w:rPr>
            </w:pPr>
          </w:p>
        </w:tc>
      </w:tr>
    </w:tbl>
    <w:p w14:paraId="4402289A" w14:textId="77777777" w:rsidR="00890258" w:rsidRPr="00890258" w:rsidRDefault="00890258" w:rsidP="008E269A"/>
    <w:sectPr w:rsidR="00890258" w:rsidRPr="00890258" w:rsidSect="005C2A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0D3C"/>
    <w:multiLevelType w:val="multilevel"/>
    <w:tmpl w:val="D00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B7DB5"/>
    <w:multiLevelType w:val="multilevel"/>
    <w:tmpl w:val="D13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207D8"/>
    <w:multiLevelType w:val="multilevel"/>
    <w:tmpl w:val="3A2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B4B2B"/>
    <w:multiLevelType w:val="multilevel"/>
    <w:tmpl w:val="F782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39"/>
    <w:rsid w:val="0007023B"/>
    <w:rsid w:val="001143AF"/>
    <w:rsid w:val="0017622F"/>
    <w:rsid w:val="003030E9"/>
    <w:rsid w:val="00435E30"/>
    <w:rsid w:val="004D08C2"/>
    <w:rsid w:val="00580EC9"/>
    <w:rsid w:val="005C2A65"/>
    <w:rsid w:val="007340C3"/>
    <w:rsid w:val="007A6F9F"/>
    <w:rsid w:val="007E1E65"/>
    <w:rsid w:val="007E5CE4"/>
    <w:rsid w:val="00890258"/>
    <w:rsid w:val="008E269A"/>
    <w:rsid w:val="0091700C"/>
    <w:rsid w:val="009A5689"/>
    <w:rsid w:val="00A06540"/>
    <w:rsid w:val="00A41A1F"/>
    <w:rsid w:val="00A75D08"/>
    <w:rsid w:val="00DA44AD"/>
    <w:rsid w:val="00DF2339"/>
    <w:rsid w:val="00E20B44"/>
    <w:rsid w:val="00F73AE3"/>
    <w:rsid w:val="00FA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A4B3"/>
  <w15:chartTrackingRefBased/>
  <w15:docId w15:val="{C8A078FE-D485-4176-A31A-68331718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23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E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2A65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4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White</dc:creator>
  <cp:keywords/>
  <dc:description/>
  <cp:lastModifiedBy>David White</cp:lastModifiedBy>
  <cp:revision>2</cp:revision>
  <cp:lastPrinted>2015-03-16T16:49:00Z</cp:lastPrinted>
  <dcterms:created xsi:type="dcterms:W3CDTF">2015-03-20T09:11:00Z</dcterms:created>
  <dcterms:modified xsi:type="dcterms:W3CDTF">2015-03-20T09:11:00Z</dcterms:modified>
</cp:coreProperties>
</file>